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SyncCatalog™</w:t>
      </w:r>
    </w:p>
    <w:p>
      <w:pPr>
        <w:jc w:val="center"/>
      </w:pPr>
      <w:r>
        <w:rPr>
          <w:b/>
          <w:sz w:val="44"/>
        </w:rPr>
        <w:t>Sync Pitch Readiness Checklist</w:t>
      </w:r>
    </w:p>
    <w:p>
      <w:pPr>
        <w:jc w:val="center"/>
      </w:pPr>
      <w:r>
        <w:rPr>
          <w:i/>
          <w:sz w:val="20"/>
        </w:rPr>
        <w:t>Free Resource Template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2F2F2"/>
          </w:tcPr>
          <w:p>
            <w:r>
              <w:rPr>
                <w:i/>
                <w:sz w:val="16"/>
              </w:rPr>
              <w:t>Important: This template is provided for educational and operational use only. It is not legal advice and is not a substitute for review by a qualified attorney. Rights, licensing terms, contracts, and legal requirements vary by project, territory, and situation.</w:t>
            </w:r>
          </w:p>
        </w:tc>
      </w:tr>
    </w:tbl>
    <w:p/>
    <w:p>
      <w:pPr>
        <w:pStyle w:val="Heading2"/>
      </w:pPr>
      <w:r>
        <w:t>Track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Track Title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Artist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</w:tbl>
    <w:p/>
    <w:p>
      <w:pPr>
        <w:pStyle w:val="Heading2"/>
      </w:pPr>
      <w:r>
        <w:t>Before You Pitch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EAEAEA"/>
          </w:tcPr>
          <w:p>
            <w:r>
              <w:rPr>
                <w:b/>
                <w:sz w:val="18"/>
              </w:rPr>
              <w:t>Done</w:t>
            </w:r>
          </w:p>
        </w:tc>
        <w:tc>
          <w:tcPr>
            <w:tcW w:type="dxa" w:w="5184"/>
            <w:shd w:fill="EAEAEA"/>
          </w:tcPr>
          <w:p>
            <w:r>
              <w:rPr>
                <w:b/>
                <w:sz w:val="18"/>
              </w:rPr>
              <w:t>Checklist Item</w:t>
            </w:r>
          </w:p>
        </w:tc>
      </w:tr>
      <w:tr>
        <w:tc>
          <w:tcPr>
            <w:tcW w:type="dxa" w:w="518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84"/>
          </w:tcPr>
          <w:p>
            <w:r>
              <w:rPr>
                <w:sz w:val="18"/>
              </w:rPr>
              <w:t>Final master is presentation-ready and correctly labeled.</w:t>
            </w:r>
          </w:p>
        </w:tc>
      </w:tr>
      <w:tr>
        <w:tc>
          <w:tcPr>
            <w:tcW w:type="dxa" w:w="518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84"/>
          </w:tcPr>
          <w:p>
            <w:r>
              <w:rPr>
                <w:sz w:val="18"/>
              </w:rPr>
              <w:t>Creative metadata is complete and accurate.</w:t>
            </w:r>
          </w:p>
        </w:tc>
      </w:tr>
      <w:tr>
        <w:tc>
          <w:tcPr>
            <w:tcW w:type="dxa" w:w="518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84"/>
          </w:tcPr>
          <w:p>
            <w:r>
              <w:rPr>
                <w:sz w:val="18"/>
              </w:rPr>
              <w:t>Writers and publishers are identified.</w:t>
            </w:r>
          </w:p>
        </w:tc>
      </w:tr>
      <w:tr>
        <w:tc>
          <w:tcPr>
            <w:tcW w:type="dxa" w:w="518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84"/>
          </w:tcPr>
          <w:p>
            <w:r>
              <w:rPr>
                <w:sz w:val="18"/>
              </w:rPr>
              <w:t>Master ownership/control is verified.</w:t>
            </w:r>
          </w:p>
        </w:tc>
      </w:tr>
      <w:tr>
        <w:tc>
          <w:tcPr>
            <w:tcW w:type="dxa" w:w="518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84"/>
          </w:tcPr>
          <w:p>
            <w:r>
              <w:rPr>
                <w:sz w:val="18"/>
              </w:rPr>
              <w:t>Publishing ownership/control is verified.</w:t>
            </w:r>
          </w:p>
        </w:tc>
      </w:tr>
      <w:tr>
        <w:tc>
          <w:tcPr>
            <w:tcW w:type="dxa" w:w="518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84"/>
          </w:tcPr>
          <w:p>
            <w:r>
              <w:rPr>
                <w:sz w:val="18"/>
              </w:rPr>
              <w:t>PRO and IPI/CAE information is recorded where applicable.</w:t>
            </w:r>
          </w:p>
        </w:tc>
      </w:tr>
      <w:tr>
        <w:tc>
          <w:tcPr>
            <w:tcW w:type="dxa" w:w="518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84"/>
          </w:tcPr>
          <w:p>
            <w:r>
              <w:rPr>
                <w:sz w:val="18"/>
              </w:rPr>
              <w:t>One-stop status is verified rather than assumed.</w:t>
            </w:r>
          </w:p>
        </w:tc>
      </w:tr>
      <w:tr>
        <w:tc>
          <w:tcPr>
            <w:tcW w:type="dxa" w:w="518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84"/>
          </w:tcPr>
          <w:p>
            <w:r>
              <w:rPr>
                <w:sz w:val="18"/>
              </w:rPr>
              <w:t>Samples, interpolations, and third-party material are disclosed.</w:t>
            </w:r>
          </w:p>
        </w:tc>
      </w:tr>
      <w:tr>
        <w:tc>
          <w:tcPr>
            <w:tcW w:type="dxa" w:w="518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84"/>
          </w:tcPr>
          <w:p>
            <w:r>
              <w:rPr>
                <w:sz w:val="18"/>
              </w:rPr>
              <w:t>Known restrictions are documented.</w:t>
            </w:r>
          </w:p>
        </w:tc>
      </w:tr>
      <w:tr>
        <w:tc>
          <w:tcPr>
            <w:tcW w:type="dxa" w:w="518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84"/>
          </w:tcPr>
          <w:p>
            <w:r>
              <w:rPr>
                <w:sz w:val="18"/>
              </w:rPr>
              <w:t>Instrumental and other useful alternate versions are available.</w:t>
            </w:r>
          </w:p>
        </w:tc>
      </w:tr>
      <w:tr>
        <w:tc>
          <w:tcPr>
            <w:tcW w:type="dxa" w:w="518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84"/>
          </w:tcPr>
          <w:p>
            <w:r>
              <w:rPr>
                <w:sz w:val="18"/>
              </w:rPr>
              <w:t>Deliverables can be located and supplied quickly.</w:t>
            </w:r>
          </w:p>
        </w:tc>
      </w:tr>
      <w:tr>
        <w:tc>
          <w:tcPr>
            <w:tcW w:type="dxa" w:w="518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84"/>
          </w:tcPr>
          <w:p>
            <w:r>
              <w:rPr>
                <w:sz w:val="18"/>
              </w:rPr>
              <w:t>The track actually fits the brief or opportunity.</w:t>
            </w:r>
          </w:p>
        </w:tc>
      </w:tr>
      <w:tr>
        <w:tc>
          <w:tcPr>
            <w:tcW w:type="dxa" w:w="518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84"/>
          </w:tcPr>
          <w:p>
            <w:r>
              <w:rPr>
                <w:sz w:val="18"/>
              </w:rPr>
              <w:t>Pitch contact and licensing contact are current.</w:t>
            </w:r>
          </w:p>
        </w:tc>
      </w:tr>
      <w:tr>
        <w:tc>
          <w:tcPr>
            <w:tcW w:type="dxa" w:w="518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84"/>
          </w:tcPr>
          <w:p>
            <w:r>
              <w:rPr>
                <w:sz w:val="18"/>
              </w:rPr>
              <w:t>Any unresolved clearance issue is visible to the pitch team.</w:t>
            </w:r>
          </w:p>
        </w:tc>
      </w:tr>
    </w:tbl>
    <w:p/>
    <w:p>
      <w:pPr>
        <w:pStyle w:val="Heading2"/>
      </w:pPr>
      <w:r>
        <w:t>Final Notes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Opportunity / Brief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Pitch Contact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Outstanding Issues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Ready to Pitch?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Yes / No / Conditional</w:t>
            </w:r>
          </w:p>
        </w:tc>
      </w:tr>
    </w:tbl>
    <w:p/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